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8E" w:rsidRPr="0058366B" w:rsidRDefault="00785F8E" w:rsidP="002D6747">
      <w:pPr>
        <w:rPr>
          <w:rFonts w:ascii="Tahoma" w:hAnsi="Tahoma" w:cs="Tahoma"/>
          <w:b/>
          <w:sz w:val="20"/>
          <w:szCs w:val="20"/>
        </w:rPr>
      </w:pPr>
      <w:r w:rsidRPr="0058366B">
        <w:rPr>
          <w:rFonts w:ascii="Tahoma" w:hAnsi="Tahoma" w:cs="Tahoma"/>
          <w:b/>
          <w:sz w:val="20"/>
          <w:szCs w:val="20"/>
        </w:rPr>
        <w:t>CORSO DI LAUREA IN SCIENZE E TECNOLOGIE MULTIMEDIALI</w:t>
      </w:r>
    </w:p>
    <w:p w:rsidR="00785F8E" w:rsidRPr="0058366B" w:rsidRDefault="00785F8E" w:rsidP="00785F8E">
      <w:pPr>
        <w:rPr>
          <w:rFonts w:ascii="Tahoma" w:hAnsi="Tahoma" w:cs="Tahoma"/>
          <w:b/>
          <w:sz w:val="20"/>
          <w:szCs w:val="20"/>
        </w:rPr>
      </w:pPr>
      <w:r w:rsidRPr="0058366B">
        <w:rPr>
          <w:rFonts w:ascii="Tahoma" w:hAnsi="Tahoma" w:cs="Tahoma"/>
          <w:b/>
          <w:sz w:val="20"/>
          <w:szCs w:val="20"/>
        </w:rPr>
        <w:t>VADEMECUM LAUREE (ULTIMA MODIFICA CCS SCMTI DD 12/09/2018)</w:t>
      </w:r>
    </w:p>
    <w:p w:rsidR="0058366B" w:rsidRDefault="0058366B" w:rsidP="002D6747">
      <w:pPr>
        <w:rPr>
          <w:rFonts w:ascii="Tahoma" w:hAnsi="Tahoma" w:cs="Tahoma"/>
          <w:sz w:val="20"/>
          <w:szCs w:val="20"/>
        </w:rPr>
      </w:pPr>
    </w:p>
    <w:p w:rsidR="00785F8E" w:rsidRPr="0058366B" w:rsidRDefault="00785F8E" w:rsidP="002D6747">
      <w:pPr>
        <w:rPr>
          <w:rFonts w:ascii="Tahoma" w:hAnsi="Tahoma" w:cs="Tahoma"/>
          <w:sz w:val="20"/>
          <w:szCs w:val="20"/>
        </w:rPr>
      </w:pPr>
      <w:r w:rsidRPr="0058366B">
        <w:rPr>
          <w:rFonts w:ascii="Tahoma" w:hAnsi="Tahoma" w:cs="Tahoma"/>
          <w:sz w:val="20"/>
          <w:szCs w:val="20"/>
        </w:rPr>
        <w:t>Di seguito alcune importanti indicazioni ai fini dello sviluppo del lavori di tesi:</w:t>
      </w: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1. Per sostenere la prova finale lo studente deve presentarne istanza on line attraverso apposita procedura prevista all’interno del sistema di gestione della didattica (Esse3)</w:t>
      </w: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Le date di scadenza per la presentazione della domanda sono:</w:t>
      </w:r>
    </w:p>
    <w:p w:rsidR="00785F8E" w:rsidRPr="00C80ACD" w:rsidRDefault="00785F8E" w:rsidP="00C80ACD">
      <w:pPr>
        <w:pStyle w:val="ListParagraph"/>
        <w:numPr>
          <w:ilvl w:val="0"/>
          <w:numId w:val="7"/>
        </w:numPr>
        <w:spacing w:after="0"/>
        <w:jc w:val="both"/>
        <w:rPr>
          <w:rFonts w:ascii="Tahoma" w:hAnsi="Tahoma" w:cs="Tahoma"/>
          <w:sz w:val="20"/>
          <w:szCs w:val="20"/>
        </w:rPr>
      </w:pPr>
      <w:r w:rsidRPr="00C80ACD">
        <w:rPr>
          <w:rFonts w:ascii="Tahoma" w:hAnsi="Tahoma" w:cs="Tahoma"/>
          <w:sz w:val="20"/>
          <w:szCs w:val="20"/>
        </w:rPr>
        <w:t>30 aprile per la sessione estiva</w:t>
      </w:r>
    </w:p>
    <w:p w:rsidR="00785F8E" w:rsidRPr="00C80ACD" w:rsidRDefault="00785F8E" w:rsidP="00C80ACD">
      <w:pPr>
        <w:pStyle w:val="ListParagraph"/>
        <w:numPr>
          <w:ilvl w:val="0"/>
          <w:numId w:val="7"/>
        </w:numPr>
        <w:spacing w:after="0"/>
        <w:jc w:val="both"/>
        <w:rPr>
          <w:rFonts w:ascii="Tahoma" w:hAnsi="Tahoma" w:cs="Tahoma"/>
          <w:sz w:val="20"/>
          <w:szCs w:val="20"/>
        </w:rPr>
      </w:pPr>
      <w:r w:rsidRPr="00C80ACD">
        <w:rPr>
          <w:rFonts w:ascii="Tahoma" w:hAnsi="Tahoma" w:cs="Tahoma"/>
          <w:sz w:val="20"/>
          <w:szCs w:val="20"/>
        </w:rPr>
        <w:t>31 luglio per la sessione autunnale</w:t>
      </w:r>
    </w:p>
    <w:p w:rsidR="00785F8E" w:rsidRPr="00C80ACD" w:rsidRDefault="00785F8E" w:rsidP="00C80ACD">
      <w:pPr>
        <w:pStyle w:val="ListParagraph"/>
        <w:numPr>
          <w:ilvl w:val="0"/>
          <w:numId w:val="7"/>
        </w:numPr>
        <w:spacing w:after="0"/>
        <w:jc w:val="both"/>
        <w:rPr>
          <w:rFonts w:ascii="Tahoma" w:hAnsi="Tahoma" w:cs="Tahoma"/>
          <w:sz w:val="20"/>
          <w:szCs w:val="20"/>
        </w:rPr>
      </w:pPr>
      <w:r w:rsidRPr="00C80ACD">
        <w:rPr>
          <w:rFonts w:ascii="Tahoma" w:hAnsi="Tahoma" w:cs="Tahoma"/>
          <w:sz w:val="20"/>
          <w:szCs w:val="20"/>
        </w:rPr>
        <w:t>15 dicembre per la sessione invernale</w:t>
      </w: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La presentazione di tale domanda può avvenire anche prima di aver superato tutti gli esami di profitto e dall’aver svolto il tirocinio curriculare, fermo restando quanto previsto al punto 4.</w:t>
      </w:r>
    </w:p>
    <w:p w:rsidR="00785F8E" w:rsidRPr="0058366B" w:rsidRDefault="00785F8E"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2. Le date della consegna della tesi sono stabilite dal Consiglio di Corso di Studi e pubblicate al link istituzionale del Corso di Laurea.</w:t>
      </w:r>
    </w:p>
    <w:p w:rsidR="0058366B" w:rsidRDefault="0058366B" w:rsidP="0058366B">
      <w:pPr>
        <w:spacing w:after="0"/>
        <w:jc w:val="both"/>
        <w:rPr>
          <w:rFonts w:ascii="Tahoma" w:hAnsi="Tahoma" w:cs="Tahoma"/>
          <w:sz w:val="20"/>
          <w:szCs w:val="20"/>
        </w:rPr>
      </w:pPr>
      <w:bookmarkStart w:id="0" w:name="_GoBack"/>
      <w:bookmarkEnd w:id="0"/>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 xml:space="preserve">3. Alla data del caricamento della tesi sul sistema Esse3  lo studente deve aver superato con successo tutti gli esami di profitto previsti dal proprio piano di studi, nonché concluso il tirocinio curriculare. Negli stessi termini lo studente deve consegnare la </w:t>
      </w:r>
      <w:proofErr w:type="spellStart"/>
      <w:r w:rsidRPr="0058366B">
        <w:rPr>
          <w:rFonts w:ascii="Tahoma" w:hAnsi="Tahoma" w:cs="Tahoma"/>
          <w:sz w:val="20"/>
          <w:szCs w:val="20"/>
        </w:rPr>
        <w:t>smart</w:t>
      </w:r>
      <w:proofErr w:type="spellEnd"/>
      <w:r w:rsidRPr="0058366B">
        <w:rPr>
          <w:rFonts w:ascii="Tahoma" w:hAnsi="Tahoma" w:cs="Tahoma"/>
          <w:sz w:val="20"/>
          <w:szCs w:val="20"/>
        </w:rPr>
        <w:t xml:space="preserve"> card. Lo studente in difetto dei requisiti summenzionati dovrà necessariamente iscriversi al successivo appello di laurea.</w:t>
      </w:r>
    </w:p>
    <w:p w:rsidR="0058366B" w:rsidRDefault="0058366B"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 xml:space="preserve">4. In assenza di appelli ufficiali utili, lo studente al quale manchi un solo esame di profitto alla laurea ha diritto ad ottenere un appello straordinario, posto che l’insegnamento in questione non riguardi il primo anno di corso. </w:t>
      </w:r>
    </w:p>
    <w:p w:rsidR="0058366B" w:rsidRDefault="0058366B"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5. Il relatore che abbia già in carico dieci tesisti può rifiutare la richiesta dell’undicesimo.</w:t>
      </w:r>
    </w:p>
    <w:p w:rsidR="0058366B" w:rsidRDefault="0058366B"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6. La tesi di laurea deve essere concordata con il relatore.</w:t>
      </w:r>
    </w:p>
    <w:p w:rsidR="0058366B" w:rsidRDefault="0058366B"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7.</w:t>
      </w:r>
      <w:r w:rsidR="0058366B">
        <w:rPr>
          <w:rFonts w:ascii="Tahoma" w:hAnsi="Tahoma" w:cs="Tahoma"/>
          <w:sz w:val="20"/>
          <w:szCs w:val="20"/>
        </w:rPr>
        <w:t xml:space="preserve"> </w:t>
      </w:r>
      <w:r w:rsidRPr="0058366B">
        <w:rPr>
          <w:rFonts w:ascii="Tahoma" w:hAnsi="Tahoma" w:cs="Tahoma"/>
          <w:sz w:val="20"/>
          <w:szCs w:val="20"/>
        </w:rPr>
        <w:t>Trattandosi di un lavoro concordato con il relatore, la tesi consiste in un costante rapporto di collaborazione e scambio tra studente e professore, ovvero:</w:t>
      </w:r>
    </w:p>
    <w:p w:rsidR="00785F8E" w:rsidRPr="00C80ACD" w:rsidRDefault="00785F8E" w:rsidP="00C80ACD">
      <w:pPr>
        <w:pStyle w:val="ListParagraph"/>
        <w:numPr>
          <w:ilvl w:val="0"/>
          <w:numId w:val="6"/>
        </w:numPr>
        <w:spacing w:after="0"/>
        <w:jc w:val="both"/>
        <w:rPr>
          <w:rFonts w:ascii="Tahoma" w:hAnsi="Tahoma" w:cs="Tahoma"/>
          <w:sz w:val="20"/>
          <w:szCs w:val="20"/>
        </w:rPr>
      </w:pPr>
      <w:r w:rsidRPr="00C80ACD">
        <w:rPr>
          <w:rFonts w:ascii="Tahoma" w:hAnsi="Tahoma" w:cs="Tahoma"/>
          <w:sz w:val="20"/>
          <w:szCs w:val="20"/>
        </w:rPr>
        <w:t>Lo studente è tenuto a contattare regolarmente il proprio relatore, nelle tempistiche stabilite dal docente (indicativamente almeno ogni 15 gg).</w:t>
      </w:r>
    </w:p>
    <w:p w:rsidR="00785F8E" w:rsidRPr="00C80ACD" w:rsidRDefault="00785F8E" w:rsidP="00C80ACD">
      <w:pPr>
        <w:pStyle w:val="ListParagraph"/>
        <w:numPr>
          <w:ilvl w:val="0"/>
          <w:numId w:val="6"/>
        </w:numPr>
        <w:spacing w:after="0"/>
        <w:jc w:val="both"/>
        <w:rPr>
          <w:rFonts w:ascii="Tahoma" w:hAnsi="Tahoma" w:cs="Tahoma"/>
          <w:sz w:val="20"/>
          <w:szCs w:val="20"/>
        </w:rPr>
      </w:pPr>
      <w:r w:rsidRPr="00C80ACD">
        <w:rPr>
          <w:rFonts w:ascii="Tahoma" w:hAnsi="Tahoma" w:cs="Tahoma"/>
          <w:sz w:val="20"/>
          <w:szCs w:val="20"/>
        </w:rPr>
        <w:t>In itinere, il relatore è tenuto a dare riscontro allo studente sul lavoro di tesi in tempi ragionevolmente utili e compatibilmente con l’entità del lavoro presentato, ovvero non più tardi di 5 giorni dal ricevimento della bozza.</w:t>
      </w:r>
    </w:p>
    <w:p w:rsidR="00785F8E" w:rsidRPr="00C80ACD" w:rsidRDefault="00785F8E" w:rsidP="00C80ACD">
      <w:pPr>
        <w:pStyle w:val="ListParagraph"/>
        <w:numPr>
          <w:ilvl w:val="0"/>
          <w:numId w:val="6"/>
        </w:numPr>
        <w:spacing w:after="0"/>
        <w:jc w:val="both"/>
        <w:rPr>
          <w:rFonts w:ascii="Tahoma" w:hAnsi="Tahoma" w:cs="Tahoma"/>
          <w:sz w:val="20"/>
          <w:szCs w:val="20"/>
        </w:rPr>
      </w:pPr>
      <w:r w:rsidRPr="00C80ACD">
        <w:rPr>
          <w:rFonts w:ascii="Tahoma" w:hAnsi="Tahoma" w:cs="Tahoma"/>
          <w:sz w:val="20"/>
          <w:szCs w:val="20"/>
        </w:rPr>
        <w:t>Nella consegna del lavoro finale, lo studente deve considerare il tempo necessario al relatore per visionare accuratamente il lavoro, ovvero almeno 10 gg prima del termine ultimo di consegna della tesi.</w:t>
      </w:r>
    </w:p>
    <w:p w:rsidR="00785F8E" w:rsidRPr="0058366B" w:rsidRDefault="00785F8E"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9. L’elaborato di tesi presentato dal candidato deve essere originale e redatto in autonomia. Lo studente si assume integralmente la responsabilità dell’originalità. Si fa presente, a tal proposito, che il Corso di Laurea è dotato di un software antiplagio.</w:t>
      </w:r>
    </w:p>
    <w:p w:rsidR="00785F8E" w:rsidRPr="0058366B" w:rsidRDefault="00785F8E" w:rsidP="0058366B">
      <w:pPr>
        <w:spacing w:after="0"/>
        <w:jc w:val="both"/>
        <w:rPr>
          <w:rFonts w:ascii="Tahoma" w:hAnsi="Tahoma" w:cs="Tahoma"/>
          <w:sz w:val="20"/>
          <w:szCs w:val="20"/>
        </w:rPr>
      </w:pPr>
    </w:p>
    <w:p w:rsidR="00785F8E" w:rsidRPr="0058366B" w:rsidRDefault="00785F8E" w:rsidP="0058366B">
      <w:pPr>
        <w:spacing w:after="0"/>
        <w:jc w:val="both"/>
        <w:rPr>
          <w:rFonts w:ascii="Tahoma" w:hAnsi="Tahoma" w:cs="Tahoma"/>
          <w:sz w:val="20"/>
          <w:szCs w:val="20"/>
        </w:rPr>
      </w:pPr>
      <w:r w:rsidRPr="0058366B">
        <w:rPr>
          <w:rFonts w:ascii="Tahoma" w:hAnsi="Tahoma" w:cs="Tahoma"/>
          <w:sz w:val="20"/>
          <w:szCs w:val="20"/>
        </w:rPr>
        <w:t>10. Lo studente deve rispettare i termini di consegna della tesi: non sono ammesse deroghe a tal riguardo.</w:t>
      </w:r>
    </w:p>
    <w:sectPr w:rsidR="00785F8E" w:rsidRPr="005836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B8"/>
    <w:multiLevelType w:val="hybridMultilevel"/>
    <w:tmpl w:val="21BC9892"/>
    <w:lvl w:ilvl="0" w:tplc="38BE4A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A404D6"/>
    <w:multiLevelType w:val="hybridMultilevel"/>
    <w:tmpl w:val="7DF0F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15012"/>
    <w:multiLevelType w:val="hybridMultilevel"/>
    <w:tmpl w:val="F4645E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6102824"/>
    <w:multiLevelType w:val="hybridMultilevel"/>
    <w:tmpl w:val="64D817F2"/>
    <w:lvl w:ilvl="0" w:tplc="38BE4AC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33E7CCA"/>
    <w:multiLevelType w:val="hybridMultilevel"/>
    <w:tmpl w:val="458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7AC7"/>
    <w:multiLevelType w:val="hybridMultilevel"/>
    <w:tmpl w:val="E08E2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AC122B"/>
    <w:multiLevelType w:val="hybridMultilevel"/>
    <w:tmpl w:val="64AC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47"/>
    <w:rsid w:val="00140E36"/>
    <w:rsid w:val="001C1D27"/>
    <w:rsid w:val="002D6747"/>
    <w:rsid w:val="0058366B"/>
    <w:rsid w:val="00785F8E"/>
    <w:rsid w:val="007D5507"/>
    <w:rsid w:val="00A30127"/>
    <w:rsid w:val="00C80ACD"/>
    <w:rsid w:val="00C93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9C49"/>
  <w15:chartTrackingRefBased/>
  <w15:docId w15:val="{1BBB515D-7321-442A-BB71-8960C846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47"/>
    <w:pPr>
      <w:ind w:left="720"/>
      <w:contextualSpacing/>
    </w:pPr>
  </w:style>
  <w:style w:type="table" w:styleId="TableGrid">
    <w:name w:val="Table Grid"/>
    <w:basedOn w:val="TableNormal"/>
    <w:uiPriority w:val="39"/>
    <w:rsid w:val="002D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Carla.RIGON</dc:creator>
  <cp:keywords/>
  <dc:description/>
  <cp:lastModifiedBy>Stefano Mizzaro</cp:lastModifiedBy>
  <cp:revision>3</cp:revision>
  <dcterms:created xsi:type="dcterms:W3CDTF">2019-04-09T10:21:00Z</dcterms:created>
  <dcterms:modified xsi:type="dcterms:W3CDTF">2019-04-11T16:31:00Z</dcterms:modified>
</cp:coreProperties>
</file>